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8" w:rsidRPr="00294488" w:rsidRDefault="00294488" w:rsidP="00294488">
      <w:pPr>
        <w:shd w:val="clear" w:color="auto" w:fill="FFFFFF"/>
        <w:spacing w:before="225" w:after="15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</w:t>
      </w:r>
      <w:proofErr w:type="gramStart"/>
      <w:r w:rsidRPr="00294488">
        <w:rPr>
          <w:rFonts w:ascii="Times New Roman" w:eastAsia="Calibri" w:hAnsi="Times New Roman" w:cs="Times New Roman"/>
          <w:b/>
          <w:sz w:val="28"/>
          <w:szCs w:val="28"/>
        </w:rPr>
        <w:t>Г-</w:t>
      </w:r>
      <w:proofErr w:type="gramEnd"/>
      <w:r w:rsidRPr="00294488">
        <w:rPr>
          <w:rFonts w:ascii="Times New Roman" w:eastAsia="Calibri" w:hAnsi="Times New Roman" w:cs="Times New Roman"/>
          <w:b/>
          <w:sz w:val="28"/>
          <w:szCs w:val="28"/>
        </w:rPr>
        <w:t xml:space="preserve"> ЮГРА</w:t>
      </w: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ТЮМЕНСКАЯ ОБЛАСТЬ</w:t>
      </w: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СЕЛЬСКОЕ ПОСЕЛЕНИЕ</w:t>
      </w:r>
    </w:p>
    <w:p w:rsidR="00294488" w:rsidRPr="00294488" w:rsidRDefault="00B115D5" w:rsidP="00B115D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КЕДРОВЫЙ</w:t>
      </w: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СОВЕТ  ДЕПУТАТОВ</w:t>
      </w: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488" w:rsidRPr="00294488" w:rsidRDefault="00294488" w:rsidP="0029448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94488" w:rsidRDefault="00717009" w:rsidP="002944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18.04.2013</w:t>
      </w:r>
      <w:r w:rsidR="00294488" w:rsidRPr="00294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488" w:rsidRPr="002944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4488" w:rsidRPr="002944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94488" w:rsidRPr="0029448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 w:rsidR="00294488" w:rsidRPr="0029448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294488" w:rsidRDefault="00294488" w:rsidP="002944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br/>
        <w:t>о порядке оформления бесхозяйного</w:t>
      </w:r>
      <w:r>
        <w:rPr>
          <w:rFonts w:ascii="Times New Roman" w:hAnsi="Times New Roman" w:cs="Times New Roman"/>
          <w:sz w:val="28"/>
          <w:szCs w:val="28"/>
        </w:rPr>
        <w:br/>
        <w:t>недвижимого имуществ</w:t>
      </w:r>
      <w:r w:rsidR="00B115D5">
        <w:rPr>
          <w:rFonts w:ascii="Times New Roman" w:hAnsi="Times New Roman" w:cs="Times New Roman"/>
          <w:sz w:val="28"/>
          <w:szCs w:val="28"/>
        </w:rPr>
        <w:t>а</w:t>
      </w:r>
      <w:r w:rsidR="00B115D5">
        <w:rPr>
          <w:rFonts w:ascii="Times New Roman" w:hAnsi="Times New Roman" w:cs="Times New Roman"/>
          <w:sz w:val="28"/>
          <w:szCs w:val="28"/>
        </w:rPr>
        <w:br/>
        <w:t xml:space="preserve">в сельском поселении </w:t>
      </w:r>
      <w:proofErr w:type="gramStart"/>
      <w:r w:rsidR="00B115D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294488" w:rsidRDefault="00294488" w:rsidP="002944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4488" w:rsidRDefault="00294488" w:rsidP="002944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   В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 ним", постановлением Правительства Российской Федерации от 17.09.2003 N 580 "Об утверждении Положения о принятии на учет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Уставом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294488" w:rsidRDefault="00294488" w:rsidP="002944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94488" w:rsidRDefault="00294488" w:rsidP="002944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Совет депутат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ов сельского поселения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294488" w:rsidRDefault="00294488" w:rsidP="002944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Решил:</w:t>
      </w:r>
    </w:p>
    <w:p w:rsidR="00294488" w:rsidRDefault="00294488" w:rsidP="002944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94488" w:rsidRPr="00CF6068" w:rsidRDefault="00294488" w:rsidP="0029448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оформления бесхозяйного недвижимого имуществ</w:t>
      </w:r>
      <w:r w:rsidR="00B115D5">
        <w:rPr>
          <w:rFonts w:ascii="Times New Roman" w:hAnsi="Times New Roman" w:cs="Times New Roman"/>
          <w:sz w:val="28"/>
          <w:szCs w:val="28"/>
        </w:rPr>
        <w:t xml:space="preserve">а в сельском поселении </w:t>
      </w:r>
      <w:proofErr w:type="gramStart"/>
      <w:r w:rsidR="00B115D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6068" w:rsidRPr="00294488" w:rsidRDefault="00CF6068" w:rsidP="00CF6068">
      <w:pPr>
        <w:pStyle w:val="a6"/>
        <w:spacing w:line="240" w:lineRule="auto"/>
        <w:ind w:left="8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CF6068" w:rsidP="0029448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через 10 дней после его официального опубликования (обнародования).</w:t>
      </w:r>
    </w:p>
    <w:p w:rsidR="00CF6068" w:rsidRDefault="00CF6068" w:rsidP="00CF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CF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Default="00CF6068" w:rsidP="00CF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68" w:rsidRPr="00CF6068" w:rsidRDefault="00CF6068" w:rsidP="00CF60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B115D5">
        <w:rPr>
          <w:rFonts w:ascii="Times New Roman" w:hAnsi="Times New Roman" w:cs="Times New Roman"/>
          <w:sz w:val="28"/>
          <w:szCs w:val="28"/>
        </w:rPr>
        <w:t xml:space="preserve">                    А.А. Козлов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94488" w:rsidRPr="00294488" w:rsidRDefault="00294488" w:rsidP="00294488">
      <w:pPr>
        <w:spacing w:line="240" w:lineRule="auto"/>
        <w:ind w:left="5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88" w:rsidRDefault="00294488" w:rsidP="00294488">
      <w:pPr>
        <w:spacing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294488" w:rsidRPr="00294488" w:rsidRDefault="00294488" w:rsidP="00294488">
      <w:pPr>
        <w:spacing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294488" w:rsidRPr="00294488" w:rsidRDefault="00294488" w:rsidP="00294488">
      <w:pPr>
        <w:spacing w:line="240" w:lineRule="auto"/>
        <w:ind w:left="5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4488">
        <w:rPr>
          <w:rFonts w:ascii="Times New Roman" w:hAnsi="Times New Roman" w:cs="Times New Roman"/>
          <w:sz w:val="28"/>
          <w:szCs w:val="28"/>
        </w:rPr>
        <w:br/>
      </w:r>
    </w:p>
    <w:p w:rsidR="00294488" w:rsidRDefault="00294488" w:rsidP="00294488">
      <w:pPr>
        <w:shd w:val="clear" w:color="auto" w:fill="FFFFFF"/>
        <w:spacing w:before="225"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</w:p>
    <w:p w:rsidR="00A61D0E" w:rsidRPr="00A61D0E" w:rsidRDefault="00A61D0E" w:rsidP="00A61D0E">
      <w:pPr>
        <w:shd w:val="clear" w:color="auto" w:fill="FFFFFF"/>
        <w:spacing w:before="225" w:after="15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</w:pPr>
      <w:r w:rsidRPr="00A61D0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Приложение </w:t>
      </w:r>
      <w:r w:rsidRPr="00A61D0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br/>
        <w:t>к</w:t>
      </w:r>
      <w:r w:rsidR="0071700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решению Совета депутатов </w:t>
      </w:r>
      <w:r w:rsidR="0071700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br/>
        <w:t>от 18.04.2013</w:t>
      </w:r>
      <w:r w:rsidRPr="00A61D0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№</w:t>
      </w:r>
      <w:r w:rsidR="00717009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>10</w:t>
      </w:r>
      <w:r w:rsidRPr="00A61D0E">
        <w:rPr>
          <w:rFonts w:ascii="Times New Roman" w:eastAsia="Times New Roman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</w:p>
    <w:p w:rsidR="00DA163A" w:rsidRPr="00A61D0E" w:rsidRDefault="00DA163A" w:rsidP="00A61D0E">
      <w:pPr>
        <w:shd w:val="clear" w:color="auto" w:fill="FFFFFF"/>
        <w:spacing w:before="225" w:after="15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ПОЛОЖЕНИЕ</w:t>
      </w:r>
    </w:p>
    <w:p w:rsidR="00DA163A" w:rsidRPr="00A61D0E" w:rsidRDefault="00DA163A" w:rsidP="00A61D0E">
      <w:pPr>
        <w:shd w:val="clear" w:color="auto" w:fill="FFFFFF"/>
        <w:spacing w:before="150" w:after="225"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О порядке оформления бесхозяйного недвижимого имуществ</w:t>
      </w:r>
      <w:r w:rsidR="00B115D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а в сельском поселении </w:t>
      </w:r>
      <w:proofErr w:type="gramStart"/>
      <w:r w:rsidR="00B115D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Кедровый</w:t>
      </w:r>
      <w:proofErr w:type="gramEnd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.</w:t>
      </w:r>
    </w:p>
    <w:p w:rsidR="00DA163A" w:rsidRDefault="00DA163A" w:rsidP="00A61D0E">
      <w:pPr>
        <w:pBdr>
          <w:bottom w:val="single" w:sz="12" w:space="1" w:color="auto"/>
        </w:pBdr>
        <w:shd w:val="clear" w:color="auto" w:fill="FFFFFF"/>
        <w:spacing w:before="150" w:after="240" w:line="240" w:lineRule="auto"/>
        <w:contextualSpacing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1. Общие положения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1.1.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Настоящее Положение о порядке признания, оформления и постановки на учет бесхозяйного недвижимого имущества, находящегося на территори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  сельского поселения 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 с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ним", постановлением Правительства Российской Федерации от 17.09.2003 N 580 "Об утверждении Положения о принятии на учет</w:t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бесхозяйных недвижимых вещей"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Уставом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1.2. Настоящее Положение определяет механизм признания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бесхозяйным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недвижимого имущества в сельском поселении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постановку его на учет бесхозяйного недвижимого имущества и принятие в муниципальную собственность.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1.3. Положение распространяется на объекты недвижимого имущества, которые не имеют собственников или собственники которых неизвестны либо от права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собственности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которые собственники отказались в порядке, предусмотренном ст. 225, 236 Гражданского кодекса Российской Федерации.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1.4. Оформление документов для признания бесхозяйным недвижимого имущества, находящегося на территории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постановки его на учет и принятия в муниципальную собственность осуществляе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(далее - 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 в соответствии с настоящим Положением.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1.6. Главными целями и задачами выявления объектов бесхозяйного недвижимого имущества являются: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вовлечение неиспользуемых объектов в свободный гражданский оборот;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обеспечение нормальной и безопасной технологии в эксплуатации объектов;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повышение эффективности использования имущества.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2. Порядок признания имущества</w:t>
      </w:r>
      <w:r w:rsidR="007F5E4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proofErr w:type="gramStart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признаки бесхозяйного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2.1. Сведения о недвижимом имуществе, имеющем признаки бесхозяйного, могут поступать: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от исполнительных органов государственной власти Российской Федерации;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субъектов Российской Федерации;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органов местного самоуправления;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 результате проведения инвентаризации;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при проведении ремонтных работ на объектах инженерной инфраструктуры сельского поселения </w:t>
      </w:r>
      <w:proofErr w:type="gramStart"/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на основании заявлений юридических и физических лиц;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иными способами.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2.2. Сведения о недвижимом имуществе,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имеющим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признаки бесхозяйного, вносятся в реестр объектов, имеющих признаки бесхозяйного имущества. Реестр объектов, имеющих признаки бесхозяйного имущества, а также изменения и допол</w:t>
      </w:r>
      <w:r w:rsidR="00B2188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нения к нему утверждаются распоряжением администрации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2.3.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проверку поступивших сведений об обнаруженных объектах недвижимого имущества, имеющих признаки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ведение реестра объектов, имеющих признаки бесхозяйного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подготовку документов для принятия бесхозяйного имущества в собственность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2.4. В целях проведения проверки сведений об обнаруженных объектах, имеющих признаки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осуществляет сбор документов, подтверждающих, что объект недвижимого имущества не имеет собственника, или его собственник неизвестен, или от права собственности на него собственник отказался.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выданные органами исполнительной власти Российской Федерации, субъектов Российской Федерации, органами местного самоуправления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Документом, подтверждающим отказ собственника от прав на недвижимое имущество,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копии учредительных документов юридического лица, свидетельство о государственной регистрации юридического лица, коды госстатистики, идентификационный номер налогоплательщика.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запрашивает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копии правоустанавливающих документов, подтверждающих наличие права собственности у лица, отказавшегося от права собственности;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сведения о регистрации физического лица в качестве предпринимателя без образования юридического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лица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либо справка адресного бюро о месте его жительства;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копия документа, удостоверяющего личность гражданина.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2.5. Если в результате проверки будет установлено, что обнаруженное недвижимое имущество отвечает требованиям пункта 1.3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формирует пакет документов, включающий: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документы, указанные в пункте 2.4 настоящего Положения;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техническую документацию на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кадастровый паспорт на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помещения);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кадастровый паспорт на земельный участок, на котором расположен объект недвижимости (при наличии);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иную необходимую документацию.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 случае признания жилого дома объектом, имеющим признаки бесхозяйного имущества,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ом собираются и подготавливаются сведения об инженерных коммуникациях, подведенных к дому: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характеристики и параметры;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техническое состояние;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сведения о наличии собственников и балансодержателей, обслуживающих организациях.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2.6. После формирования пакета документов, указанного в пункте 2.5 настоящего Положения,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выносит вопрос о признании имущества объектом, имеющим признаки бесхозяйного имущества, на рассмотрение комиссии по признанию имущества объектом, имеющим признаки бесхозяйного имущества (далее - Комиссия).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Комиссия изучает пакет документов и при необходимости выезжает на место расположения недвижимого имущества для его осмотра. По результатам работы Комиссии составляется акт с указанием наименования, адресного ориентира, характеристик, описания технического состояния недвижимого имущества и документации, на основании которой данное имущество можно считать имеющим признаки бесхозяйного, а также выносится решение Комиссии о признании имущества объектом, имеющим признаки бесхозяйного имущества.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Состав Комиссии, типовая форма акта и решения Комиссии утверждаются главой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2.7. На основании принятого Комиссией решения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готовит проект распоряжения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зяйного имущества.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Распоряжение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публикуется в средствах массовой информации.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Внесение такого имущества в реестр объектов, имеющих признаки бесхозяйного имущества, осуществляется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Администрацией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2.8. </w:t>
      </w:r>
      <w:proofErr w:type="gramStart"/>
      <w:r w:rsidR="0053475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После издания распоряжения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администрации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организует работу по сбору документов, содержащих описание объекта недвижимого имущества, в том числе плана объекта недвижимого имущества;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готовит заявление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2.9. В целях предотвращения угрозы разрушения имущества, имеющего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ремонт и содержание данного имущества за счет средств местного бюджета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3. Доказывание права собственности на имущество, имеющее признаки бесхозяйного или принятого на учет как бесхозяйное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3.2.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если собственник докажет право собственности на имущество, имеющее признаки бесхозяйного или принятого на учет как бесхозяйного,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направляет заказное письмо с предложением о необходимости принятия мер по содержанию данного имущества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судебном порядке);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готовит соответствующее постановление администрации сельского поселения </w:t>
      </w:r>
      <w:proofErr w:type="gramStart"/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 исключении этого имущества из реестра объектов, имеющих п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ризнаки бесхозяйного имущества;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3.3.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случае если собственник докажет право собственности на имущество, имеющее признаки бесхозяйного или принятого на учет как бесхозяйное, администрация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имеет право на возмещение затрат, понесенных на ремонт и содержание данного имущества, в судебном порядке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3.4.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 случае если бесхозяйное имущество по решению суда будет признано муниципальной собственностью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4. Порядок постановки на учет недвижимого имущества как бесхозяйного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4.1.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Объекты недвижимого имущества, имеющие признаки бесхозяйного имущества, выявленные на территории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4.2.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Для принятия на учет объектов недвижимого имущества как бесхозяйных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истечении 30 дней после опубликования 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постановления 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="00DD2E7E"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включении имущества в реестр объектов, имеющих признаки бесхозяйного имущества.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4.3. К заявлению должны быть приложены следующие документы: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доверенность на право представления документов, оформленная надлежащим образом;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второй - помещен в дело правоустанавливающих документов.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4.4. По истечении года со дня постановки недвижимого имущества на учет как бесхозяйного администрация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</w:t>
      </w:r>
      <w:proofErr w:type="gramStart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суд с требованием о признании права собственности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это имущество в порядке</w:t>
      </w:r>
      <w:proofErr w:type="gramEnd"/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предусмотренном Гражданским процессуальным кодексом Российской Федерации.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5. Переход бесхозяйного недвижимого имущества в муниципальную собственность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5.1. 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5.2. После вступления в силу решения суда о признании права собственности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 </w:t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Администрация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готовит проект постановления администрации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 принятии бесхозяйного имущества в муниципальную собственность;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 xml:space="preserve">- вносит имущество в реестр муниципальной собственности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сельского поселения </w:t>
      </w:r>
      <w:r w:rsidR="00B115D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Кедровый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на бесхозяйное имущество;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  <w:t>- разрабатывает проекты решений о дальнейшем использовании имущества в соответствии с действующим законодательством;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="007F5E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    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5.3. </w:t>
      </w:r>
      <w:r w:rsidR="00DD2E7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Финансовый орган администрации внесит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имущество в муниципальную казну.</w:t>
      </w: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</w:p>
    <w:p w:rsidR="007F5E43" w:rsidRPr="00A61D0E" w:rsidRDefault="007F5E43" w:rsidP="00A61D0E">
      <w:pPr>
        <w:shd w:val="clear" w:color="auto" w:fill="FFFFFF"/>
        <w:spacing w:before="150" w:after="240" w:line="240" w:lineRule="auto"/>
        <w:contextualSpacing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DA163A" w:rsidRPr="007F5E43" w:rsidRDefault="00DA163A" w:rsidP="007F5E43">
      <w:pPr>
        <w:shd w:val="clear" w:color="auto" w:fill="FFFFFF"/>
        <w:spacing w:before="150" w:after="24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A61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br/>
      </w:r>
      <w:r w:rsidRPr="00A61D0E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br/>
      </w:r>
    </w:p>
    <w:p w:rsidR="00B24E0D" w:rsidRPr="00A61D0E" w:rsidRDefault="00B24E0D" w:rsidP="00A61D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24E0D" w:rsidRPr="00A61D0E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F4F"/>
    <w:multiLevelType w:val="hybridMultilevel"/>
    <w:tmpl w:val="3070C4A6"/>
    <w:lvl w:ilvl="0" w:tplc="92B4800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3A"/>
    <w:rsid w:val="00011E4C"/>
    <w:rsid w:val="00020BCC"/>
    <w:rsid w:val="000372DF"/>
    <w:rsid w:val="00040371"/>
    <w:rsid w:val="00044CAB"/>
    <w:rsid w:val="00047733"/>
    <w:rsid w:val="000518A6"/>
    <w:rsid w:val="00057677"/>
    <w:rsid w:val="000623F1"/>
    <w:rsid w:val="00064ACE"/>
    <w:rsid w:val="000B5FC8"/>
    <w:rsid w:val="000E1587"/>
    <w:rsid w:val="00112B77"/>
    <w:rsid w:val="0015406F"/>
    <w:rsid w:val="001C0A73"/>
    <w:rsid w:val="001C1449"/>
    <w:rsid w:val="001F1447"/>
    <w:rsid w:val="002072E0"/>
    <w:rsid w:val="002112A2"/>
    <w:rsid w:val="002166D2"/>
    <w:rsid w:val="00234C3C"/>
    <w:rsid w:val="002673FF"/>
    <w:rsid w:val="00294488"/>
    <w:rsid w:val="002B2736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C0976"/>
    <w:rsid w:val="003D3B3B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34758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616898"/>
    <w:rsid w:val="00625593"/>
    <w:rsid w:val="00643C1C"/>
    <w:rsid w:val="00667AD1"/>
    <w:rsid w:val="00696F87"/>
    <w:rsid w:val="006C16F4"/>
    <w:rsid w:val="006C497F"/>
    <w:rsid w:val="006F29DD"/>
    <w:rsid w:val="0070020B"/>
    <w:rsid w:val="00713D5C"/>
    <w:rsid w:val="00717009"/>
    <w:rsid w:val="007242FC"/>
    <w:rsid w:val="00735D17"/>
    <w:rsid w:val="00751B40"/>
    <w:rsid w:val="00784D1B"/>
    <w:rsid w:val="007969D7"/>
    <w:rsid w:val="007969DA"/>
    <w:rsid w:val="007C68CB"/>
    <w:rsid w:val="007E62DF"/>
    <w:rsid w:val="007E697D"/>
    <w:rsid w:val="007F5E43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1D0E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15D5"/>
    <w:rsid w:val="00B15F32"/>
    <w:rsid w:val="00B21884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33F7"/>
    <w:rsid w:val="00CE0197"/>
    <w:rsid w:val="00CF6068"/>
    <w:rsid w:val="00D13081"/>
    <w:rsid w:val="00D3343C"/>
    <w:rsid w:val="00D377E2"/>
    <w:rsid w:val="00D40B5C"/>
    <w:rsid w:val="00D43BF0"/>
    <w:rsid w:val="00D77803"/>
    <w:rsid w:val="00D845E9"/>
    <w:rsid w:val="00DA163A"/>
    <w:rsid w:val="00DD2E7E"/>
    <w:rsid w:val="00DE436C"/>
    <w:rsid w:val="00DE4973"/>
    <w:rsid w:val="00DF7369"/>
    <w:rsid w:val="00E24615"/>
    <w:rsid w:val="00E2656F"/>
    <w:rsid w:val="00E6122E"/>
    <w:rsid w:val="00E66C0D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paragraph" w:styleId="4">
    <w:name w:val="heading 4"/>
    <w:basedOn w:val="a"/>
    <w:link w:val="40"/>
    <w:uiPriority w:val="9"/>
    <w:qFormat/>
    <w:rsid w:val="00DA163A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163A"/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A163A"/>
    <w:rPr>
      <w:i/>
      <w:iCs/>
    </w:rPr>
  </w:style>
  <w:style w:type="paragraph" w:styleId="a4">
    <w:name w:val="Normal (Web)"/>
    <w:basedOn w:val="a"/>
    <w:uiPriority w:val="99"/>
    <w:semiHidden/>
    <w:unhideWhenUsed/>
    <w:rsid w:val="00DA163A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163A"/>
    <w:rPr>
      <w:b/>
      <w:bCs/>
    </w:rPr>
  </w:style>
  <w:style w:type="paragraph" w:styleId="a6">
    <w:name w:val="List Paragraph"/>
    <w:basedOn w:val="a"/>
    <w:uiPriority w:val="34"/>
    <w:qFormat/>
    <w:rsid w:val="00294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5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0102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6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3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2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7</cp:revision>
  <cp:lastPrinted>2013-04-23T06:06:00Z</cp:lastPrinted>
  <dcterms:created xsi:type="dcterms:W3CDTF">2013-01-18T04:35:00Z</dcterms:created>
  <dcterms:modified xsi:type="dcterms:W3CDTF">2013-04-23T06:09:00Z</dcterms:modified>
</cp:coreProperties>
</file>